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308716</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Inchon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Korea,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22</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timing adjustment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8.14.4.3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spread general discussion around RRM aspects in ATG case. The following agreements were achieved in [1] around timing and frequency adjustment: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9514" w:type="dxa"/>
          </w:tcPr>
          <w:p>
            <w:pPr>
              <w:rPr>
                <w:b/>
                <w:sz w:val="21"/>
                <w:szCs w:val="21"/>
                <w:u w:val="single"/>
                <w:lang w:eastAsia="ko-KR"/>
              </w:rPr>
            </w:pPr>
            <w:r>
              <w:rPr>
                <w:b/>
                <w:sz w:val="21"/>
                <w:szCs w:val="21"/>
                <w:u w:val="single"/>
                <w:lang w:eastAsia="ko-KR"/>
              </w:rPr>
              <w:t xml:space="preserve">Issue 3-1-1: How to acquire reference location information (e.g. BS location information) </w:t>
            </w:r>
          </w:p>
          <w:p>
            <w:pPr>
              <w:rPr>
                <w:rFonts w:eastAsiaTheme="minorEastAsia"/>
                <w:b/>
                <w:bCs/>
                <w:iCs/>
                <w:sz w:val="21"/>
                <w:szCs w:val="21"/>
              </w:rPr>
            </w:pPr>
            <w:r>
              <w:rPr>
                <w:rFonts w:eastAsiaTheme="minorEastAsia"/>
                <w:b/>
                <w:bCs/>
                <w:iCs/>
                <w:sz w:val="21"/>
                <w:szCs w:val="21"/>
                <w:highlight w:val="green"/>
              </w:rPr>
              <w:t>Agreements</w:t>
            </w:r>
            <w:r>
              <w:rPr>
                <w:rFonts w:eastAsiaTheme="minorEastAsia"/>
                <w:b/>
                <w:bCs/>
                <w:iCs/>
                <w:sz w:val="21"/>
                <w:szCs w:val="21"/>
              </w:rPr>
              <w:t>:</w:t>
            </w:r>
          </w:p>
          <w:p>
            <w:pPr>
              <w:pStyle w:val="28"/>
              <w:numPr>
                <w:ilvl w:val="0"/>
                <w:numId w:val="4"/>
              </w:numPr>
              <w:autoSpaceDN w:val="0"/>
              <w:spacing w:after="120"/>
              <w:ind w:firstLineChars="0"/>
              <w:rPr>
                <w:b/>
                <w:sz w:val="21"/>
                <w:szCs w:val="21"/>
                <w:u w:val="single"/>
                <w:lang w:eastAsia="ko-KR"/>
              </w:rPr>
            </w:pPr>
            <w:r>
              <w:rPr>
                <w:sz w:val="21"/>
                <w:szCs w:val="21"/>
              </w:rPr>
              <w:t>Wait the feedback from RAN2</w:t>
            </w:r>
          </w:p>
          <w:p>
            <w:pPr>
              <w:rPr>
                <w:rFonts w:eastAsia="宋体"/>
                <w:b/>
                <w:sz w:val="21"/>
                <w:szCs w:val="21"/>
                <w:u w:val="single"/>
                <w:lang w:val="en-GB" w:eastAsia="ko-KR"/>
              </w:rPr>
            </w:pPr>
            <w:r>
              <w:rPr>
                <w:b/>
                <w:sz w:val="21"/>
                <w:szCs w:val="21"/>
                <w:u w:val="single"/>
                <w:lang w:eastAsia="ko-KR"/>
              </w:rPr>
              <w:t>Issue 3-1-2: GNSS error assumption for initial transmit timing requirements T</w:t>
            </w:r>
            <w:r>
              <w:rPr>
                <w:b/>
                <w:sz w:val="21"/>
                <w:szCs w:val="21"/>
                <w:u w:val="single"/>
                <w:vertAlign w:val="subscript"/>
                <w:lang w:eastAsia="ko-KR"/>
              </w:rPr>
              <w:t>e_ATG</w:t>
            </w:r>
          </w:p>
          <w:p>
            <w:pPr>
              <w:rPr>
                <w:rFonts w:eastAsiaTheme="minorEastAsia"/>
                <w:b/>
                <w:bCs/>
                <w:iCs/>
                <w:sz w:val="21"/>
                <w:szCs w:val="21"/>
              </w:rPr>
            </w:pPr>
            <w:r>
              <w:rPr>
                <w:rFonts w:eastAsiaTheme="minorEastAsia"/>
                <w:b/>
                <w:bCs/>
                <w:iCs/>
                <w:sz w:val="21"/>
                <w:szCs w:val="21"/>
              </w:rPr>
              <w:t xml:space="preserve">Webinar offline </w:t>
            </w:r>
            <w:r>
              <w:rPr>
                <w:rFonts w:eastAsiaTheme="minorEastAsia"/>
                <w:b/>
                <w:bCs/>
                <w:iCs/>
                <w:sz w:val="21"/>
                <w:szCs w:val="21"/>
                <w:highlight w:val="green"/>
              </w:rPr>
              <w:t>A</w:t>
            </w:r>
            <w:r>
              <w:rPr>
                <w:rFonts w:hint="eastAsia" w:eastAsiaTheme="minorEastAsia"/>
                <w:b/>
                <w:bCs/>
                <w:iCs/>
                <w:sz w:val="21"/>
                <w:szCs w:val="21"/>
                <w:highlight w:val="green"/>
              </w:rPr>
              <w:t>greeme</w:t>
            </w:r>
            <w:r>
              <w:rPr>
                <w:rFonts w:eastAsiaTheme="minorEastAsia"/>
                <w:b/>
                <w:bCs/>
                <w:iCs/>
                <w:sz w:val="21"/>
                <w:szCs w:val="21"/>
                <w:highlight w:val="green"/>
              </w:rPr>
              <w:t>nts</w:t>
            </w:r>
            <w:r>
              <w:rPr>
                <w:rFonts w:eastAsiaTheme="minorEastAsia"/>
                <w:b/>
                <w:bCs/>
                <w:iCs/>
                <w:sz w:val="21"/>
                <w:szCs w:val="21"/>
              </w:rPr>
              <w:t>:</w:t>
            </w:r>
          </w:p>
          <w:p>
            <w:pPr>
              <w:pStyle w:val="28"/>
              <w:numPr>
                <w:ilvl w:val="0"/>
                <w:numId w:val="4"/>
              </w:numPr>
              <w:autoSpaceDN w:val="0"/>
              <w:spacing w:after="120"/>
              <w:ind w:firstLineChars="0"/>
              <w:rPr>
                <w:sz w:val="21"/>
                <w:szCs w:val="21"/>
              </w:rPr>
            </w:pPr>
            <w:r>
              <w:rPr>
                <w:sz w:val="21"/>
                <w:szCs w:val="21"/>
              </w:rPr>
              <w:t>40m for GNSS accuracy assumption</w:t>
            </w:r>
          </w:p>
          <w:p>
            <w:pPr>
              <w:pStyle w:val="28"/>
              <w:numPr>
                <w:ilvl w:val="0"/>
                <w:numId w:val="4"/>
              </w:numPr>
              <w:autoSpaceDN w:val="0"/>
              <w:spacing w:after="120"/>
              <w:ind w:firstLineChars="0"/>
              <w:rPr>
                <w:rFonts w:eastAsiaTheme="minorEastAsia"/>
                <w:i/>
                <w:color w:val="0070C0"/>
                <w:sz w:val="21"/>
                <w:szCs w:val="21"/>
              </w:rPr>
            </w:pPr>
            <w:r>
              <w:rPr>
                <w:sz w:val="21"/>
                <w:szCs w:val="21"/>
              </w:rPr>
              <w:t>Do not define 60KHz UL Te requirements</w:t>
            </w:r>
          </w:p>
          <w:p>
            <w:pPr>
              <w:rPr>
                <w:b/>
                <w:sz w:val="21"/>
                <w:szCs w:val="21"/>
                <w:u w:val="single"/>
                <w:vertAlign w:val="subscript"/>
                <w:lang w:eastAsia="ko-KR"/>
              </w:rPr>
            </w:pPr>
            <w:bookmarkStart w:id="0" w:name="_Hlk133265185"/>
            <w:r>
              <w:rPr>
                <w:b/>
                <w:sz w:val="21"/>
                <w:szCs w:val="21"/>
                <w:u w:val="single"/>
                <w:lang w:eastAsia="ko-KR"/>
              </w:rPr>
              <w:t>Issue 3-1-3: Initial transmit timing requirements T</w:t>
            </w:r>
            <w:r>
              <w:rPr>
                <w:b/>
                <w:sz w:val="21"/>
                <w:szCs w:val="21"/>
                <w:u w:val="single"/>
                <w:vertAlign w:val="subscript"/>
                <w:lang w:eastAsia="ko-KR"/>
              </w:rPr>
              <w:t>e_ATG</w:t>
            </w:r>
          </w:p>
          <w:p>
            <w:pPr>
              <w:rPr>
                <w:rFonts w:eastAsiaTheme="minorEastAsia"/>
                <w:b/>
                <w:bCs/>
                <w:iCs/>
                <w:sz w:val="21"/>
                <w:szCs w:val="21"/>
              </w:rPr>
            </w:pPr>
            <w:r>
              <w:rPr>
                <w:rFonts w:eastAsiaTheme="minorEastAsia"/>
                <w:b/>
                <w:bCs/>
                <w:iCs/>
                <w:sz w:val="21"/>
                <w:szCs w:val="21"/>
                <w:highlight w:val="green"/>
              </w:rPr>
              <w:t>Agreements</w:t>
            </w:r>
            <w:r>
              <w:rPr>
                <w:rFonts w:eastAsiaTheme="minorEastAsia"/>
                <w:b/>
                <w:bCs/>
                <w:iCs/>
                <w:sz w:val="21"/>
                <w:szCs w:val="21"/>
              </w:rPr>
              <w:t>:</w:t>
            </w:r>
          </w:p>
          <w:p>
            <w:pPr>
              <w:pStyle w:val="28"/>
              <w:numPr>
                <w:ilvl w:val="0"/>
                <w:numId w:val="4"/>
              </w:numPr>
              <w:autoSpaceDN w:val="0"/>
              <w:spacing w:after="120"/>
              <w:ind w:firstLineChars="0"/>
              <w:rPr>
                <w:rFonts w:eastAsia="Yu Mincho"/>
                <w:sz w:val="21"/>
                <w:szCs w:val="21"/>
                <w:lang w:val="en-GB" w:eastAsia="en-US"/>
              </w:rPr>
            </w:pPr>
            <w:r>
              <w:rPr>
                <w:rFonts w:eastAsia="宋体"/>
                <w:sz w:val="21"/>
                <w:szCs w:val="21"/>
              </w:rPr>
              <w:t xml:space="preserve">Exclude the 60 kHz SCS </w:t>
            </w:r>
          </w:p>
          <w:p>
            <w:pPr>
              <w:pStyle w:val="28"/>
              <w:numPr>
                <w:ilvl w:val="0"/>
                <w:numId w:val="4"/>
              </w:numPr>
              <w:autoSpaceDN w:val="0"/>
              <w:spacing w:after="120"/>
              <w:ind w:firstLineChars="0"/>
              <w:rPr>
                <w:rFonts w:eastAsiaTheme="minorEastAsia"/>
                <w:iCs/>
                <w:sz w:val="21"/>
                <w:szCs w:val="21"/>
              </w:rPr>
            </w:pPr>
            <w:r>
              <w:rPr>
                <w:iCs/>
                <w:sz w:val="21"/>
                <w:szCs w:val="21"/>
                <w:lang w:eastAsia="ja-JP"/>
              </w:rPr>
              <w:t>T</w:t>
            </w:r>
            <w:r>
              <w:rPr>
                <w:iCs/>
                <w:sz w:val="21"/>
                <w:szCs w:val="21"/>
                <w:vertAlign w:val="subscript"/>
                <w:lang w:eastAsia="ja-JP"/>
              </w:rPr>
              <w:t>e, GNSS_error</w:t>
            </w:r>
            <w:r>
              <w:rPr>
                <w:iCs/>
                <w:sz w:val="21"/>
                <w:szCs w:val="21"/>
                <w:lang w:eastAsia="ja-JP"/>
              </w:rPr>
              <w:t xml:space="preserve"> = 8x64xT</w:t>
            </w:r>
            <w:r>
              <w:rPr>
                <w:iCs/>
                <w:sz w:val="21"/>
                <w:szCs w:val="21"/>
                <w:vertAlign w:val="subscript"/>
                <w:lang w:eastAsia="ja-JP"/>
              </w:rPr>
              <w:t>c</w:t>
            </w:r>
            <w:bookmarkEnd w:id="0"/>
          </w:p>
          <w:p>
            <w:pPr>
              <w:rPr>
                <w:rFonts w:eastAsia="宋体"/>
                <w:b/>
                <w:sz w:val="21"/>
                <w:szCs w:val="21"/>
                <w:u w:val="single"/>
                <w:lang w:val="en-GB" w:eastAsia="ko-KR"/>
              </w:rPr>
            </w:pPr>
            <w:bookmarkStart w:id="1" w:name="_Hlk133265205"/>
            <w:r>
              <w:rPr>
                <w:b/>
                <w:sz w:val="21"/>
                <w:szCs w:val="21"/>
                <w:u w:val="single"/>
                <w:lang w:eastAsia="ko-KR"/>
              </w:rPr>
              <w:t>Issue 3-1-4: Gradual timing adjustment</w:t>
            </w:r>
          </w:p>
          <w:p>
            <w:pPr>
              <w:rPr>
                <w:rFonts w:eastAsiaTheme="minorEastAsia"/>
                <w:iCs/>
                <w:color w:val="0070C0"/>
                <w:sz w:val="21"/>
                <w:szCs w:val="21"/>
              </w:rPr>
            </w:pPr>
            <w:r>
              <w:rPr>
                <w:rFonts w:eastAsiaTheme="minorEastAsia"/>
                <w:b/>
                <w:bCs/>
                <w:iCs/>
                <w:sz w:val="21"/>
                <w:szCs w:val="21"/>
                <w:highlight w:val="green"/>
              </w:rPr>
              <w:t>Agreements</w:t>
            </w:r>
            <w:r>
              <w:rPr>
                <w:rFonts w:eastAsiaTheme="minorEastAsia"/>
                <w:b/>
                <w:bCs/>
                <w:iCs/>
                <w:sz w:val="21"/>
                <w:szCs w:val="21"/>
              </w:rPr>
              <w:t>:</w:t>
            </w:r>
            <w:r>
              <w:rPr>
                <w:rFonts w:eastAsiaTheme="minorEastAsia"/>
                <w:iCs/>
                <w:sz w:val="21"/>
                <w:szCs w:val="21"/>
              </w:rPr>
              <w:t xml:space="preserve"> </w:t>
            </w:r>
          </w:p>
          <w:p>
            <w:pPr>
              <w:pStyle w:val="28"/>
              <w:numPr>
                <w:ilvl w:val="0"/>
                <w:numId w:val="4"/>
              </w:numPr>
              <w:autoSpaceDN w:val="0"/>
              <w:spacing w:after="120"/>
              <w:ind w:firstLineChars="0"/>
              <w:rPr>
                <w:rFonts w:hint="default"/>
                <w:b/>
                <w:sz w:val="20"/>
                <w:szCs w:val="20"/>
                <w:u w:val="single"/>
                <w:lang w:val="en-US" w:eastAsia="zh-CN"/>
              </w:rPr>
            </w:pPr>
            <w:r>
              <w:rPr>
                <w:rFonts w:eastAsia="宋体"/>
                <w:sz w:val="21"/>
                <w:szCs w:val="21"/>
              </w:rPr>
              <w:t>T</w:t>
            </w:r>
            <w:r>
              <w:rPr>
                <w:rFonts w:eastAsia="宋体"/>
                <w:sz w:val="21"/>
                <w:szCs w:val="21"/>
                <w:vertAlign w:val="subscript"/>
              </w:rPr>
              <w:t>q_ATG</w:t>
            </w:r>
            <w:r>
              <w:rPr>
                <w:rFonts w:eastAsia="宋体"/>
                <w:sz w:val="21"/>
                <w:szCs w:val="21"/>
              </w:rPr>
              <w:t xml:space="preserve"> and T</w:t>
            </w:r>
            <w:r>
              <w:rPr>
                <w:rFonts w:eastAsia="宋体"/>
                <w:sz w:val="21"/>
                <w:szCs w:val="21"/>
                <w:vertAlign w:val="subscript"/>
              </w:rPr>
              <w:t xml:space="preserve">p_ATG </w:t>
            </w:r>
            <w:r>
              <w:rPr>
                <w:rFonts w:eastAsia="宋体"/>
                <w:sz w:val="21"/>
                <w:szCs w:val="21"/>
              </w:rPr>
              <w:t>should be 9.5*64*Tc in FR1 and all SCSs</w:t>
            </w:r>
            <w:bookmarkEnd w:id="1"/>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Until right now, all issues related with timing and frequency adjustment have been identified. Regarding the issue of How to acquire reference location information, RAN4 still needs to wait for RAN2</w:t>
      </w:r>
      <w:r>
        <w:rPr>
          <w:rFonts w:hint="default" w:eastAsia="宋体"/>
          <w:color w:val="auto"/>
          <w:sz w:val="20"/>
          <w:szCs w:val="20"/>
          <w:lang w:val="en-US" w:eastAsia="zh-CN"/>
        </w:rPr>
        <w:t>’</w:t>
      </w:r>
      <w:r>
        <w:rPr>
          <w:rFonts w:hint="eastAsia" w:eastAsia="宋体"/>
          <w:color w:val="auto"/>
          <w:sz w:val="20"/>
          <w:szCs w:val="20"/>
          <w:lang w:val="en-US" w:eastAsia="zh-CN"/>
        </w:rPr>
        <w:t>s reply.</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Besides the timing requirements, some company proposed the guard period issue since of large TDD cell impaction. We provide our views on this issues in this document.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default" w:eastAsia="宋体"/>
          <w:color w:val="auto"/>
          <w:sz w:val="20"/>
          <w:szCs w:val="20"/>
          <w:lang w:val="en-US" w:eastAsia="zh-CN"/>
        </w:rPr>
      </w:pPr>
      <w:r>
        <w:rPr>
          <w:rFonts w:hint="eastAsia" w:eastAsia="宋体"/>
          <w:color w:val="auto"/>
          <w:sz w:val="20"/>
          <w:szCs w:val="20"/>
          <w:lang w:val="en-US" w:eastAsia="zh-CN"/>
        </w:rPr>
        <w:t xml:space="preserve">Considering the allowed large ISD deployment in ATG scenario, so for TDD, to avoid the interference between DL and UL, large GP is possible to be configured for the ATG frame pattern. While the current TDD frame pattern configuration mechanism is flexible enough. Both RRC signalling based and DCI(DCI format 2_0) based TDD frame pattern configurations are supported from Rel-15. Even for the RRC signalling based configuration, through </w:t>
      </w:r>
      <w:r>
        <w:rPr>
          <w:rFonts w:hint="eastAsia" w:eastAsia="宋体"/>
          <w:i/>
          <w:iCs/>
          <w:color w:val="auto"/>
          <w:sz w:val="20"/>
          <w:szCs w:val="20"/>
          <w:lang w:val="en-US" w:eastAsia="zh-CN"/>
        </w:rPr>
        <w:t>TDD-UL-DL-ConfigCommon</w:t>
      </w:r>
      <w:r>
        <w:rPr>
          <w:rFonts w:hint="eastAsia" w:eastAsia="宋体"/>
          <w:color w:val="auto"/>
          <w:sz w:val="20"/>
          <w:szCs w:val="20"/>
          <w:lang w:val="en-US" w:eastAsia="zh-CN"/>
        </w:rPr>
        <w:t xml:space="preserve"> and/or </w:t>
      </w:r>
      <w:r>
        <w:rPr>
          <w:rFonts w:hint="eastAsia" w:eastAsia="宋体"/>
          <w:i/>
          <w:iCs/>
          <w:color w:val="auto"/>
          <w:sz w:val="20"/>
          <w:szCs w:val="20"/>
          <w:lang w:val="en-US" w:eastAsia="zh-CN"/>
        </w:rPr>
        <w:t>TDD-UL-DL-ConfigDedicated</w:t>
      </w:r>
      <w:r>
        <w:rPr>
          <w:rFonts w:hint="eastAsia" w:eastAsia="宋体"/>
          <w:color w:val="auto"/>
          <w:sz w:val="20"/>
          <w:szCs w:val="20"/>
          <w:lang w:val="en-US" w:eastAsia="zh-CN"/>
        </w:rPr>
        <w:t xml:space="preserve">, </w:t>
      </w:r>
      <w:r>
        <w:rPr>
          <w:rFonts w:hint="default" w:eastAsia="宋体"/>
          <w:color w:val="auto"/>
          <w:sz w:val="20"/>
          <w:szCs w:val="20"/>
          <w:lang w:val="en-US" w:eastAsia="zh-CN"/>
        </w:rPr>
        <w:t>‘</w:t>
      </w:r>
      <w:r>
        <w:rPr>
          <w:rFonts w:hint="eastAsia" w:eastAsia="宋体"/>
          <w:color w:val="auto"/>
          <w:sz w:val="20"/>
          <w:szCs w:val="20"/>
          <w:lang w:val="en-US" w:eastAsia="zh-CN"/>
        </w:rPr>
        <w:t>DL</w:t>
      </w:r>
      <w:r>
        <w:rPr>
          <w:rFonts w:hint="default" w:eastAsia="宋体"/>
          <w:color w:val="auto"/>
          <w:sz w:val="20"/>
          <w:szCs w:val="20"/>
          <w:lang w:val="en-US" w:eastAsia="zh-CN"/>
        </w:rPr>
        <w:t>’</w:t>
      </w:r>
      <w:r>
        <w:rPr>
          <w:rFonts w:hint="eastAsia" w:eastAsia="宋体"/>
          <w:color w:val="auto"/>
          <w:sz w:val="20"/>
          <w:szCs w:val="20"/>
          <w:lang w:val="en-US" w:eastAsia="zh-CN"/>
        </w:rPr>
        <w:t xml:space="preserve">, </w:t>
      </w:r>
      <w:r>
        <w:rPr>
          <w:rFonts w:hint="default" w:eastAsia="宋体"/>
          <w:color w:val="auto"/>
          <w:sz w:val="20"/>
          <w:szCs w:val="20"/>
          <w:lang w:val="en-US" w:eastAsia="zh-CN"/>
        </w:rPr>
        <w:t>‘</w:t>
      </w:r>
      <w:r>
        <w:rPr>
          <w:rFonts w:hint="eastAsia" w:eastAsia="宋体"/>
          <w:color w:val="auto"/>
          <w:sz w:val="20"/>
          <w:szCs w:val="20"/>
          <w:lang w:val="en-US" w:eastAsia="zh-CN"/>
        </w:rPr>
        <w:t>Flexible</w:t>
      </w:r>
      <w:r>
        <w:rPr>
          <w:rFonts w:hint="default" w:eastAsia="宋体"/>
          <w:color w:val="auto"/>
          <w:sz w:val="20"/>
          <w:szCs w:val="20"/>
          <w:lang w:val="en-US" w:eastAsia="zh-CN"/>
        </w:rPr>
        <w:t>’</w:t>
      </w:r>
      <w:r>
        <w:rPr>
          <w:rFonts w:hint="eastAsia" w:eastAsia="宋体"/>
          <w:color w:val="auto"/>
          <w:sz w:val="20"/>
          <w:szCs w:val="20"/>
          <w:lang w:val="en-US" w:eastAsia="zh-CN"/>
        </w:rPr>
        <w:t xml:space="preserve"> and </w:t>
      </w:r>
      <w:r>
        <w:rPr>
          <w:rFonts w:hint="default" w:eastAsia="宋体"/>
          <w:color w:val="auto"/>
          <w:sz w:val="20"/>
          <w:szCs w:val="20"/>
          <w:lang w:val="en-US" w:eastAsia="zh-CN"/>
        </w:rPr>
        <w:t>‘</w:t>
      </w:r>
      <w:r>
        <w:rPr>
          <w:rFonts w:hint="eastAsia" w:eastAsia="宋体"/>
          <w:color w:val="auto"/>
          <w:sz w:val="20"/>
          <w:szCs w:val="20"/>
          <w:lang w:val="en-US" w:eastAsia="zh-CN"/>
        </w:rPr>
        <w:t>UL</w:t>
      </w:r>
      <w:r>
        <w:rPr>
          <w:rFonts w:hint="default" w:eastAsia="宋体"/>
          <w:color w:val="auto"/>
          <w:sz w:val="20"/>
          <w:szCs w:val="20"/>
          <w:lang w:val="en-US" w:eastAsia="zh-CN"/>
        </w:rPr>
        <w:t>’</w:t>
      </w:r>
      <w:r>
        <w:rPr>
          <w:rFonts w:hint="eastAsia" w:eastAsia="宋体"/>
          <w:color w:val="auto"/>
          <w:sz w:val="20"/>
          <w:szCs w:val="20"/>
          <w:lang w:val="en-US" w:eastAsia="zh-CN"/>
        </w:rPr>
        <w:t xml:space="preserve"> all can be configured in symbol level and with any duration allowed. NW can configure suitable GP through the current TDD frame pattern configureation mechanism for large ISD case, so the large ISD has no impact on RRM.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current TDD frame pattern configuration mechanism is flexible, NW can configure suitable TDD frame pattern with large GP through the current TDD frame pattern configuration mechanism. Large ISD has no RRM impact.</w:t>
      </w:r>
    </w:p>
    <w:p>
      <w:pPr>
        <w:pStyle w:val="4"/>
        <w:rPr>
          <w:rFonts w:hint="eastAsia" w:eastAsia="宋体"/>
          <w:color w:val="auto"/>
          <w:sz w:val="20"/>
          <w:szCs w:val="20"/>
          <w:lang w:val="en-US" w:eastAsia="zh-CN"/>
        </w:rPr>
      </w:pPr>
      <w:r>
        <w:rPr>
          <w:rFonts w:hint="eastAsia" w:eastAsia="宋体"/>
          <w:color w:val="auto"/>
          <w:sz w:val="20"/>
          <w:szCs w:val="20"/>
          <w:lang w:val="en-US" w:eastAsia="zh-CN"/>
        </w:rPr>
        <w:t xml:space="preserve">Firstly, by applying large TDD frame pattern period, the overhead of GP can be limited to the accepted extend. </w:t>
      </w:r>
    </w:p>
    <w:p>
      <w:pPr>
        <w:pStyle w:val="4"/>
        <w:rPr>
          <w:rFonts w:hint="default" w:eastAsia="宋体"/>
          <w:color w:val="auto"/>
          <w:sz w:val="20"/>
          <w:szCs w:val="20"/>
          <w:lang w:val="en-US" w:eastAsia="zh-CN"/>
        </w:rPr>
      </w:pPr>
      <w:r>
        <w:rPr>
          <w:rFonts w:hint="eastAsia" w:eastAsia="宋体"/>
          <w:color w:val="auto"/>
          <w:sz w:val="20"/>
          <w:szCs w:val="20"/>
          <w:lang w:val="en-US" w:eastAsia="zh-CN"/>
        </w:rPr>
        <w:t>Besides, for the GP determination, some company proposed to introduce propagation delay information reporting from CPE to NW. To our understand, if NW can estimate the propagation delay between NW and CPE, then NW can configure suitable GP for TDD frame pattern. For TDD system, both DL and UL share same bandwidth,</w:t>
      </w:r>
      <w:bookmarkStart w:id="3" w:name="_GoBack"/>
      <w:r>
        <w:rPr>
          <w:rFonts w:hint="eastAsia" w:eastAsia="宋体"/>
          <w:color w:val="auto"/>
          <w:sz w:val="20"/>
          <w:szCs w:val="20"/>
          <w:highlight w:val="none"/>
          <w:lang w:val="en-US" w:eastAsia="zh-CN"/>
        </w:rPr>
        <w:t xml:space="preserve"> so NW can estimate the propagation delay through the PRACH or SRS reception, we can not see the necessity to introduce any propagation delay reporting from CPE. </w:t>
      </w:r>
      <w:bookmarkEnd w:id="3"/>
      <w:r>
        <w:rPr>
          <w:rFonts w:hint="eastAsia" w:eastAsia="宋体"/>
          <w:color w:val="auto"/>
          <w:sz w:val="20"/>
          <w:szCs w:val="20"/>
          <w:lang w:val="en-US" w:eastAsia="zh-CN"/>
        </w:rPr>
        <w:t>Furthermore, considering the airplane trajectory is pre-determined, based on some history info, NW can predict the future propagation delay, so even not need frequent PRACH/SRS reception for the sake of GP determination at NW side.</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No need to introduce propagation delay reporting from CPE to NW. On one hand, by applying large TDD frame pattern period, the overhead of GP can be limited to the accepted extend. On the other hand, NW can estimate the propagation delay through PRACH or SRS reception.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spacing w:before="156" w:beforeLines="50"/>
        <w:rPr>
          <w:rFonts w:hint="eastAsia" w:eastAsia="宋体"/>
          <w:color w:val="auto"/>
          <w:sz w:val="20"/>
          <w:szCs w:val="20"/>
          <w:lang w:val="en-GB" w:eastAsia="zh-CN"/>
        </w:rPr>
      </w:pPr>
      <w:r>
        <w:rPr>
          <w:rFonts w:hint="eastAsia" w:eastAsia="宋体"/>
          <w:color w:val="auto"/>
          <w:sz w:val="20"/>
          <w:szCs w:val="20"/>
          <w:lang w:val="en-GB" w:eastAsia="zh-CN"/>
        </w:rPr>
        <w:t xml:space="preserve">In this </w:t>
      </w:r>
      <w:r>
        <w:rPr>
          <w:rFonts w:hint="eastAsia" w:eastAsia="宋体"/>
          <w:color w:val="auto"/>
          <w:sz w:val="20"/>
          <w:szCs w:val="20"/>
          <w:lang w:val="en-US" w:eastAsia="zh-CN"/>
        </w:rPr>
        <w:t>contribution</w:t>
      </w:r>
      <w:r>
        <w:rPr>
          <w:rFonts w:hint="eastAsia" w:eastAsia="宋体"/>
          <w:color w:val="auto"/>
          <w:sz w:val="20"/>
          <w:szCs w:val="20"/>
          <w:lang w:val="en-GB" w:eastAsia="zh-CN"/>
        </w:rPr>
        <w:t>, we have the following proposals</w:t>
      </w:r>
      <w:r>
        <w:rPr>
          <w:rFonts w:hint="eastAsia" w:eastAsia="宋体"/>
          <w:color w:val="auto"/>
          <w:sz w:val="20"/>
          <w:szCs w:val="20"/>
          <w:lang w:val="en-US" w:eastAsia="zh-CN"/>
        </w:rPr>
        <w:t xml:space="preserve"> </w:t>
      </w:r>
      <w:r>
        <w:rPr>
          <w:rFonts w:hint="eastAsia" w:eastAsia="宋体"/>
          <w:color w:val="auto"/>
          <w:sz w:val="20"/>
          <w:szCs w:val="20"/>
          <w:lang w:val="en-GB" w:eastAsia="zh-CN"/>
        </w:rPr>
        <w:t xml:space="preserve">for </w:t>
      </w:r>
      <w:r>
        <w:rPr>
          <w:rFonts w:hint="eastAsia" w:eastAsia="宋体"/>
          <w:color w:val="auto"/>
          <w:sz w:val="20"/>
          <w:szCs w:val="20"/>
          <w:lang w:val="en-US" w:eastAsia="zh-CN"/>
        </w:rPr>
        <w:t>the consideration of large TDD cell impaction for ATG system</w:t>
      </w:r>
      <w:r>
        <w:rPr>
          <w:rFonts w:hint="eastAsia" w:eastAsia="宋体"/>
          <w:color w:val="auto"/>
          <w:sz w:val="20"/>
          <w:szCs w:val="20"/>
          <w:lang w:val="en-GB" w:eastAsia="zh-CN"/>
        </w:rPr>
        <w: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current TDD frame pattern configuration mechanism is flexible, NW can configure suitable TDD frame pattern with large GP through the current TDD frame pattern configuration mechanism. Large ISD has no RRM impact.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No need to introduce propagation delay reporting from CPE to NW. On one hand, by applying large TDD frame pattern period, the overhead of GP can be limited to the accepted extend. On the other hand, NW can estimate the propagation delay through PRACH or SRS reception.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5"/>
        </w:numPr>
        <w:ind w:left="0" w:leftChars="0" w:firstLine="0" w:firstLineChars="0"/>
        <w:rPr>
          <w:rFonts w:hint="eastAsia"/>
          <w:color w:val="auto"/>
          <w:lang w:val="en-US" w:eastAsia="zh-CN"/>
        </w:rPr>
      </w:pPr>
      <w:r>
        <w:rPr>
          <w:rFonts w:hint="eastAsia"/>
          <w:color w:val="auto"/>
          <w:lang w:val="en-US" w:eastAsia="zh-CN"/>
        </w:rPr>
        <w:t xml:space="preserve">R4-2306344 </w:t>
      </w:r>
      <w:r>
        <w:rPr>
          <w:rFonts w:hint="default"/>
          <w:color w:val="auto"/>
          <w:lang w:val="en-US" w:eastAsia="zh-CN"/>
        </w:rPr>
        <w:t>“</w:t>
      </w:r>
      <w:bookmarkStart w:id="2" w:name="_Hlk41145953"/>
      <w:r>
        <w:rPr>
          <w:rFonts w:hint="default"/>
          <w:color w:val="auto"/>
          <w:lang w:val="en-US" w:eastAsia="zh-CN"/>
        </w:rPr>
        <w:t>WF on NR ATG RRM</w:t>
      </w:r>
      <w:bookmarkEnd w:id="2"/>
      <w:r>
        <w:rPr>
          <w:rFonts w:hint="default"/>
          <w:color w:val="auto"/>
          <w:lang w:val="en-US" w:eastAsia="zh-CN"/>
        </w:rPr>
        <w:t xml:space="preserve"> requirements”</w:t>
      </w:r>
      <w:r>
        <w:rPr>
          <w:rFonts w:hint="eastAsia"/>
          <w:color w:val="auto"/>
          <w:lang w:val="en-US" w:eastAsia="zh-CN"/>
        </w:rPr>
        <w:t>, CMCC</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4">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D7616"/>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5317828"/>
    <w:rsid w:val="05477E90"/>
    <w:rsid w:val="05BB5AB9"/>
    <w:rsid w:val="05C42923"/>
    <w:rsid w:val="06226EA6"/>
    <w:rsid w:val="06401641"/>
    <w:rsid w:val="06963BA6"/>
    <w:rsid w:val="07CD3CDD"/>
    <w:rsid w:val="083E6EA0"/>
    <w:rsid w:val="0855671D"/>
    <w:rsid w:val="089009EB"/>
    <w:rsid w:val="08EA2407"/>
    <w:rsid w:val="09716BCA"/>
    <w:rsid w:val="099E0FAE"/>
    <w:rsid w:val="09D64B23"/>
    <w:rsid w:val="09E644B8"/>
    <w:rsid w:val="0A1C7F03"/>
    <w:rsid w:val="0A867423"/>
    <w:rsid w:val="0AB155C2"/>
    <w:rsid w:val="0B12013A"/>
    <w:rsid w:val="0B3D3C2F"/>
    <w:rsid w:val="0BB0429A"/>
    <w:rsid w:val="0BDD6CEC"/>
    <w:rsid w:val="0BFF5FC6"/>
    <w:rsid w:val="0C394019"/>
    <w:rsid w:val="0CD05342"/>
    <w:rsid w:val="0CDB4E5B"/>
    <w:rsid w:val="0CF11916"/>
    <w:rsid w:val="0D3024B8"/>
    <w:rsid w:val="0D5201AB"/>
    <w:rsid w:val="0DEE745F"/>
    <w:rsid w:val="0E2007EA"/>
    <w:rsid w:val="0ED83027"/>
    <w:rsid w:val="0F9D01A4"/>
    <w:rsid w:val="0FAD3D1E"/>
    <w:rsid w:val="10207CA1"/>
    <w:rsid w:val="102263EF"/>
    <w:rsid w:val="10997F43"/>
    <w:rsid w:val="10DE7BAE"/>
    <w:rsid w:val="120774A3"/>
    <w:rsid w:val="12887761"/>
    <w:rsid w:val="14006D19"/>
    <w:rsid w:val="1481754F"/>
    <w:rsid w:val="148F32AB"/>
    <w:rsid w:val="148F5721"/>
    <w:rsid w:val="14AC57CD"/>
    <w:rsid w:val="15ED3E9B"/>
    <w:rsid w:val="164514BE"/>
    <w:rsid w:val="166B2EA9"/>
    <w:rsid w:val="16E73296"/>
    <w:rsid w:val="170F06AA"/>
    <w:rsid w:val="17225508"/>
    <w:rsid w:val="17B07FBC"/>
    <w:rsid w:val="180A6E32"/>
    <w:rsid w:val="183F2CD2"/>
    <w:rsid w:val="185469B6"/>
    <w:rsid w:val="1856323E"/>
    <w:rsid w:val="185D2497"/>
    <w:rsid w:val="18AF55E3"/>
    <w:rsid w:val="18B077E2"/>
    <w:rsid w:val="18B1519A"/>
    <w:rsid w:val="18CD0507"/>
    <w:rsid w:val="18E471EF"/>
    <w:rsid w:val="18F36BA5"/>
    <w:rsid w:val="192558B8"/>
    <w:rsid w:val="195D7D48"/>
    <w:rsid w:val="1AD01A1B"/>
    <w:rsid w:val="1B61065A"/>
    <w:rsid w:val="1BBF3927"/>
    <w:rsid w:val="1BE40118"/>
    <w:rsid w:val="1C177B08"/>
    <w:rsid w:val="1C9001C6"/>
    <w:rsid w:val="1CBA2101"/>
    <w:rsid w:val="1D0573D7"/>
    <w:rsid w:val="1D153DC4"/>
    <w:rsid w:val="1D223E0B"/>
    <w:rsid w:val="1D317C9F"/>
    <w:rsid w:val="1E132F88"/>
    <w:rsid w:val="1E2867E9"/>
    <w:rsid w:val="1E853F6F"/>
    <w:rsid w:val="1E9C7BCC"/>
    <w:rsid w:val="1ECC1E3C"/>
    <w:rsid w:val="208364FC"/>
    <w:rsid w:val="208953F9"/>
    <w:rsid w:val="20AA18E5"/>
    <w:rsid w:val="21014C39"/>
    <w:rsid w:val="21244EB1"/>
    <w:rsid w:val="213964D8"/>
    <w:rsid w:val="21595D04"/>
    <w:rsid w:val="21774630"/>
    <w:rsid w:val="21E9773D"/>
    <w:rsid w:val="21F13629"/>
    <w:rsid w:val="21F81584"/>
    <w:rsid w:val="2201030F"/>
    <w:rsid w:val="223236B6"/>
    <w:rsid w:val="2255462C"/>
    <w:rsid w:val="2305377E"/>
    <w:rsid w:val="23901822"/>
    <w:rsid w:val="24122135"/>
    <w:rsid w:val="24D4257E"/>
    <w:rsid w:val="24DF00B0"/>
    <w:rsid w:val="2572202B"/>
    <w:rsid w:val="258B7C43"/>
    <w:rsid w:val="25B00E1B"/>
    <w:rsid w:val="25B643F9"/>
    <w:rsid w:val="2605683C"/>
    <w:rsid w:val="268167CC"/>
    <w:rsid w:val="26BB1419"/>
    <w:rsid w:val="27B748AA"/>
    <w:rsid w:val="27CB4CB9"/>
    <w:rsid w:val="281B0617"/>
    <w:rsid w:val="281C2F58"/>
    <w:rsid w:val="282E010A"/>
    <w:rsid w:val="29642C4B"/>
    <w:rsid w:val="2A34628C"/>
    <w:rsid w:val="2A3B006D"/>
    <w:rsid w:val="2A724D05"/>
    <w:rsid w:val="2A7E505C"/>
    <w:rsid w:val="2AC85686"/>
    <w:rsid w:val="2AD04B5F"/>
    <w:rsid w:val="2AF443E5"/>
    <w:rsid w:val="2B8A3934"/>
    <w:rsid w:val="2BC05B2C"/>
    <w:rsid w:val="2BD617C5"/>
    <w:rsid w:val="2BEB05B3"/>
    <w:rsid w:val="2C112837"/>
    <w:rsid w:val="2C9B1252"/>
    <w:rsid w:val="2C9C2786"/>
    <w:rsid w:val="2CC13667"/>
    <w:rsid w:val="2D794401"/>
    <w:rsid w:val="2DF1167C"/>
    <w:rsid w:val="2E014790"/>
    <w:rsid w:val="2EE77680"/>
    <w:rsid w:val="2F2F0FC8"/>
    <w:rsid w:val="2FA70460"/>
    <w:rsid w:val="301C6BB6"/>
    <w:rsid w:val="30F11994"/>
    <w:rsid w:val="319708F2"/>
    <w:rsid w:val="31A8260E"/>
    <w:rsid w:val="31B14C9E"/>
    <w:rsid w:val="332B149D"/>
    <w:rsid w:val="33C522D7"/>
    <w:rsid w:val="344C156B"/>
    <w:rsid w:val="34807672"/>
    <w:rsid w:val="35B06C6A"/>
    <w:rsid w:val="366149EB"/>
    <w:rsid w:val="36941AA2"/>
    <w:rsid w:val="36D37423"/>
    <w:rsid w:val="37210963"/>
    <w:rsid w:val="379D23F9"/>
    <w:rsid w:val="388B255E"/>
    <w:rsid w:val="396B32D2"/>
    <w:rsid w:val="3A185287"/>
    <w:rsid w:val="3A1F46B8"/>
    <w:rsid w:val="3A692CD0"/>
    <w:rsid w:val="3AAE4AA7"/>
    <w:rsid w:val="3AF23299"/>
    <w:rsid w:val="3B270929"/>
    <w:rsid w:val="3B3D5571"/>
    <w:rsid w:val="3B673620"/>
    <w:rsid w:val="3B9A1F29"/>
    <w:rsid w:val="3BF631F5"/>
    <w:rsid w:val="3C765285"/>
    <w:rsid w:val="3CE4646B"/>
    <w:rsid w:val="3CFC1228"/>
    <w:rsid w:val="3D14125D"/>
    <w:rsid w:val="3D5E7AA8"/>
    <w:rsid w:val="3D6F2596"/>
    <w:rsid w:val="3D946587"/>
    <w:rsid w:val="3E5F0ACE"/>
    <w:rsid w:val="3E942A37"/>
    <w:rsid w:val="3F85798B"/>
    <w:rsid w:val="405F175E"/>
    <w:rsid w:val="40C765F3"/>
    <w:rsid w:val="40FE7215"/>
    <w:rsid w:val="42F869D2"/>
    <w:rsid w:val="43553536"/>
    <w:rsid w:val="44972678"/>
    <w:rsid w:val="451632B9"/>
    <w:rsid w:val="45262990"/>
    <w:rsid w:val="45906394"/>
    <w:rsid w:val="45B415CB"/>
    <w:rsid w:val="45F60A50"/>
    <w:rsid w:val="46142D0C"/>
    <w:rsid w:val="46263A53"/>
    <w:rsid w:val="46970A81"/>
    <w:rsid w:val="46B036BF"/>
    <w:rsid w:val="46CC320F"/>
    <w:rsid w:val="47282363"/>
    <w:rsid w:val="472C785C"/>
    <w:rsid w:val="47810C98"/>
    <w:rsid w:val="47924F0A"/>
    <w:rsid w:val="47D2373B"/>
    <w:rsid w:val="48432631"/>
    <w:rsid w:val="48F407FD"/>
    <w:rsid w:val="49DC4EAC"/>
    <w:rsid w:val="49E55BC5"/>
    <w:rsid w:val="4A5D0BB5"/>
    <w:rsid w:val="4A6B2056"/>
    <w:rsid w:val="4A912B7F"/>
    <w:rsid w:val="4B600E77"/>
    <w:rsid w:val="4B8F684D"/>
    <w:rsid w:val="4BF02011"/>
    <w:rsid w:val="4C1C63D6"/>
    <w:rsid w:val="4C2775C3"/>
    <w:rsid w:val="4C2D52ED"/>
    <w:rsid w:val="4C4B2837"/>
    <w:rsid w:val="4C864A35"/>
    <w:rsid w:val="4D207A05"/>
    <w:rsid w:val="4D53283E"/>
    <w:rsid w:val="4DA11BF2"/>
    <w:rsid w:val="4E015C76"/>
    <w:rsid w:val="4E310026"/>
    <w:rsid w:val="4E4A2325"/>
    <w:rsid w:val="4E9E6ADA"/>
    <w:rsid w:val="4FC7362A"/>
    <w:rsid w:val="501A6C55"/>
    <w:rsid w:val="50E6713C"/>
    <w:rsid w:val="51522B0F"/>
    <w:rsid w:val="515B1740"/>
    <w:rsid w:val="51B14BED"/>
    <w:rsid w:val="52526454"/>
    <w:rsid w:val="52575A99"/>
    <w:rsid w:val="525C1CEF"/>
    <w:rsid w:val="528B5767"/>
    <w:rsid w:val="52D33625"/>
    <w:rsid w:val="534273EB"/>
    <w:rsid w:val="53A3105E"/>
    <w:rsid w:val="53C64B93"/>
    <w:rsid w:val="53C65BDB"/>
    <w:rsid w:val="548A6C60"/>
    <w:rsid w:val="55B1164D"/>
    <w:rsid w:val="55B4735E"/>
    <w:rsid w:val="55BB221D"/>
    <w:rsid w:val="56371459"/>
    <w:rsid w:val="56484633"/>
    <w:rsid w:val="57D039F0"/>
    <w:rsid w:val="57FF4799"/>
    <w:rsid w:val="58D0053D"/>
    <w:rsid w:val="59165279"/>
    <w:rsid w:val="595A2A3C"/>
    <w:rsid w:val="598C40A0"/>
    <w:rsid w:val="59DA647E"/>
    <w:rsid w:val="5A556E1A"/>
    <w:rsid w:val="5BA06278"/>
    <w:rsid w:val="5BF92FF2"/>
    <w:rsid w:val="5C924E81"/>
    <w:rsid w:val="5E2864D0"/>
    <w:rsid w:val="5E494511"/>
    <w:rsid w:val="5EB44FC0"/>
    <w:rsid w:val="5F5D3CFF"/>
    <w:rsid w:val="5FBA395F"/>
    <w:rsid w:val="60094E5C"/>
    <w:rsid w:val="606F38F4"/>
    <w:rsid w:val="60EC2CBA"/>
    <w:rsid w:val="61CC2D28"/>
    <w:rsid w:val="63431026"/>
    <w:rsid w:val="635902CD"/>
    <w:rsid w:val="64706BBE"/>
    <w:rsid w:val="64F2095B"/>
    <w:rsid w:val="65A16A49"/>
    <w:rsid w:val="662F3E67"/>
    <w:rsid w:val="674E154D"/>
    <w:rsid w:val="67A858DB"/>
    <w:rsid w:val="67FE4166"/>
    <w:rsid w:val="684A154D"/>
    <w:rsid w:val="688E0EBE"/>
    <w:rsid w:val="68C401C3"/>
    <w:rsid w:val="69A833BD"/>
    <w:rsid w:val="69EF6835"/>
    <w:rsid w:val="6BD10CF1"/>
    <w:rsid w:val="6D566F0F"/>
    <w:rsid w:val="6D836F72"/>
    <w:rsid w:val="6DDE3DAF"/>
    <w:rsid w:val="6E3241BE"/>
    <w:rsid w:val="6EB97A9D"/>
    <w:rsid w:val="6EEC187D"/>
    <w:rsid w:val="6EF10A90"/>
    <w:rsid w:val="6EFC7DED"/>
    <w:rsid w:val="6F077DB2"/>
    <w:rsid w:val="6F2A7FBF"/>
    <w:rsid w:val="6FEB76BE"/>
    <w:rsid w:val="6FFF1868"/>
    <w:rsid w:val="70025DE4"/>
    <w:rsid w:val="715F4C2D"/>
    <w:rsid w:val="722F78FB"/>
    <w:rsid w:val="723C2F8E"/>
    <w:rsid w:val="723D67C5"/>
    <w:rsid w:val="726A5F44"/>
    <w:rsid w:val="72793AC9"/>
    <w:rsid w:val="72BF60CA"/>
    <w:rsid w:val="72F41282"/>
    <w:rsid w:val="733D0D32"/>
    <w:rsid w:val="73B76769"/>
    <w:rsid w:val="73D411F1"/>
    <w:rsid w:val="748C4434"/>
    <w:rsid w:val="74A356B2"/>
    <w:rsid w:val="753811DE"/>
    <w:rsid w:val="75BE67D4"/>
    <w:rsid w:val="75C2004C"/>
    <w:rsid w:val="75C759C1"/>
    <w:rsid w:val="76281B03"/>
    <w:rsid w:val="762D64F3"/>
    <w:rsid w:val="762E20AD"/>
    <w:rsid w:val="767E7EFF"/>
    <w:rsid w:val="771F7B79"/>
    <w:rsid w:val="775B4604"/>
    <w:rsid w:val="77C067C3"/>
    <w:rsid w:val="77E23494"/>
    <w:rsid w:val="77FC6F68"/>
    <w:rsid w:val="78074939"/>
    <w:rsid w:val="788B02B1"/>
    <w:rsid w:val="78911E31"/>
    <w:rsid w:val="78F9732D"/>
    <w:rsid w:val="7922350F"/>
    <w:rsid w:val="792B5470"/>
    <w:rsid w:val="79365B60"/>
    <w:rsid w:val="79FF29F1"/>
    <w:rsid w:val="7A9367CB"/>
    <w:rsid w:val="7AF22571"/>
    <w:rsid w:val="7B0720CF"/>
    <w:rsid w:val="7B4C0E47"/>
    <w:rsid w:val="7B69224B"/>
    <w:rsid w:val="7BE51C69"/>
    <w:rsid w:val="7BE80F25"/>
    <w:rsid w:val="7C1C35A7"/>
    <w:rsid w:val="7C45431D"/>
    <w:rsid w:val="7D25352B"/>
    <w:rsid w:val="7D3219D5"/>
    <w:rsid w:val="7DDD0501"/>
    <w:rsid w:val="7DE51372"/>
    <w:rsid w:val="7DE5466E"/>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3</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2023-05-15T12:45:36Z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